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C6" w:rsidRPr="00C30D99" w:rsidRDefault="00CF65C6" w:rsidP="00E11B96">
      <w:pPr>
        <w:jc w:val="center"/>
        <w:rPr>
          <w:rFonts w:asciiTheme="majorHAnsi" w:hAnsiTheme="majorHAnsi"/>
        </w:rPr>
      </w:pPr>
    </w:p>
    <w:p w:rsidR="00FB45EF" w:rsidRPr="00C30D99" w:rsidRDefault="003D23FA" w:rsidP="003D23FA">
      <w:pPr>
        <w:jc w:val="both"/>
        <w:rPr>
          <w:rFonts w:asciiTheme="majorHAnsi" w:hAnsiTheme="majorHAnsi"/>
        </w:rPr>
      </w:pPr>
      <w:r w:rsidRPr="00C30D99">
        <w:rPr>
          <w:rFonts w:asciiTheme="majorHAnsi" w:hAnsiTheme="majorHAnsi"/>
        </w:rPr>
        <w:t>U okviru projekta LADDER (</w:t>
      </w:r>
      <w:hyperlink r:id="rId7" w:history="1">
        <w:r w:rsidR="005A0758" w:rsidRPr="00C30D99">
          <w:rPr>
            <w:rStyle w:val="Hyperlink"/>
            <w:rFonts w:asciiTheme="majorHAnsi" w:hAnsiTheme="majorHAnsi"/>
          </w:rPr>
          <w:t>www.ladder-project.eu</w:t>
        </w:r>
      </w:hyperlink>
      <w:r w:rsidRPr="00C30D99">
        <w:rPr>
          <w:rFonts w:asciiTheme="majorHAnsi" w:hAnsiTheme="majorHAnsi"/>
        </w:rPr>
        <w:t xml:space="preserve">), članovi konzorcija razvijaju i podržavaju aktivnosti u području edukacije za razvoj i podizanje svijesti. </w:t>
      </w:r>
    </w:p>
    <w:p w:rsidR="00FD66E2" w:rsidRPr="00C30D99" w:rsidRDefault="00FB45EF" w:rsidP="003D23FA">
      <w:pPr>
        <w:jc w:val="both"/>
        <w:rPr>
          <w:rFonts w:asciiTheme="majorHAnsi" w:hAnsiTheme="majorHAnsi"/>
        </w:rPr>
      </w:pPr>
      <w:r w:rsidRPr="00C30D99">
        <w:rPr>
          <w:rFonts w:asciiTheme="majorHAnsi" w:hAnsiTheme="majorHAnsi"/>
        </w:rPr>
        <w:t xml:space="preserve">Ovaj poziv na podnošenje projektnih prijedloga raspisan je s namjerom osiguravanja podrške projektima koji uključuju sve segmente društva u području edukacije za razvoj i podizanje svijesti. Bespovratna sredstva namijenjena su prije svega mikroprojektima koji imaju izgleda da poluče rezultate i posluže kao primjer i nadahnuće građanima, nevladinim organizacijama i jedinicama lokalne samouprave, dokazujući kako je moguće osmisliti i realizirati konstruktivne aktivnosti usmjerene na postizanje rezultata. </w:t>
      </w:r>
    </w:p>
    <w:p w:rsidR="003D23FA" w:rsidRPr="00C30D99" w:rsidRDefault="003D23FA" w:rsidP="003D23FA">
      <w:pPr>
        <w:jc w:val="both"/>
        <w:rPr>
          <w:rFonts w:asciiTheme="majorHAnsi" w:hAnsiTheme="majorHAnsi"/>
        </w:rPr>
      </w:pPr>
      <w:r w:rsidRPr="00C30D99">
        <w:rPr>
          <w:rFonts w:asciiTheme="majorHAnsi" w:hAnsiTheme="majorHAnsi"/>
        </w:rPr>
        <w:t>Cilj tih mikroprojekata treba</w:t>
      </w:r>
      <w:r w:rsidR="00C5325F" w:rsidRPr="00C30D99">
        <w:rPr>
          <w:rFonts w:asciiTheme="majorHAnsi" w:hAnsiTheme="majorHAnsi"/>
        </w:rPr>
        <w:t>o</w:t>
      </w:r>
      <w:r w:rsidRPr="00C30D99">
        <w:rPr>
          <w:rFonts w:asciiTheme="majorHAnsi" w:hAnsiTheme="majorHAnsi"/>
        </w:rPr>
        <w:t xml:space="preserve"> bi biti </w:t>
      </w:r>
      <w:r w:rsidRPr="00C30D99">
        <w:rPr>
          <w:rFonts w:asciiTheme="majorHAnsi" w:hAnsiTheme="majorHAnsi"/>
          <w:u w:val="single"/>
        </w:rPr>
        <w:t>osvještavanje javnosti o globalnim razvojnim temama i promicanje edukacija za razvoj</w:t>
      </w:r>
      <w:r w:rsidRPr="00C30D99">
        <w:rPr>
          <w:rFonts w:asciiTheme="majorHAnsi" w:hAnsiTheme="majorHAnsi"/>
        </w:rPr>
        <w:t xml:space="preserve"> (koja uključuje podizanje svijesti i informiranje građana, promicanje uključivanja u djelovanje na lokalnoj razini te, na posljetku, promjene stavova vezane uz globalne izazove i pitanja razvoja) u svim segmentima društva u EU-u.</w:t>
      </w:r>
    </w:p>
    <w:p w:rsidR="00D80708" w:rsidRPr="00C30D99" w:rsidRDefault="00D80708" w:rsidP="003D23FA">
      <w:pPr>
        <w:jc w:val="both"/>
        <w:rPr>
          <w:rFonts w:asciiTheme="majorHAnsi" w:hAnsiTheme="majorHAnsi"/>
        </w:rPr>
      </w:pPr>
    </w:p>
    <w:p w:rsidR="00E11B96" w:rsidRPr="00C30D99" w:rsidRDefault="00AD79B9" w:rsidP="00E11B96">
      <w:pPr>
        <w:rPr>
          <w:rFonts w:asciiTheme="majorHAnsi" w:hAnsiTheme="majorHAnsi"/>
          <w:i/>
        </w:rPr>
      </w:pPr>
      <w:r w:rsidRPr="00C30D99">
        <w:rPr>
          <w:rFonts w:asciiTheme="majorHAnsi" w:hAnsiTheme="majorHAnsi"/>
          <w:i/>
        </w:rPr>
        <w:t>Kriteriji za stjecanje prava na sudjelovanje</w:t>
      </w:r>
    </w:p>
    <w:p w:rsidR="00AD79B9" w:rsidRPr="00C30D99" w:rsidRDefault="00AD79B9" w:rsidP="00CA7DB6">
      <w:pPr>
        <w:jc w:val="both"/>
        <w:rPr>
          <w:rFonts w:asciiTheme="majorHAnsi" w:hAnsiTheme="majorHAnsi"/>
        </w:rPr>
      </w:pPr>
      <w:r w:rsidRPr="00C30D99">
        <w:rPr>
          <w:rFonts w:asciiTheme="majorHAnsi" w:hAnsiTheme="majorHAnsi"/>
        </w:rPr>
        <w:t>Bespovratna sredstva za mikroprojekte mogu se dodijeliti tijelima lokalne samouprave, nevladinim organizacijama (udrugama, lokalnim zajednicama, građanskim inicijativama, skupinama građana te svim vrstama organizacija civilnog društva).</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Jedinice koje stječu pravo na sudjelovanje</w:t>
      </w:r>
    </w:p>
    <w:p w:rsidR="00AD79B9" w:rsidRPr="00C30D99" w:rsidRDefault="00AD79B9" w:rsidP="00AD79B9">
      <w:pPr>
        <w:pStyle w:val="ListParagraph"/>
        <w:numPr>
          <w:ilvl w:val="0"/>
          <w:numId w:val="1"/>
        </w:numPr>
        <w:rPr>
          <w:rFonts w:asciiTheme="majorHAnsi" w:hAnsiTheme="majorHAnsi"/>
        </w:rPr>
      </w:pPr>
      <w:r w:rsidRPr="00C30D99">
        <w:rPr>
          <w:rFonts w:asciiTheme="majorHAnsi" w:hAnsiTheme="majorHAnsi"/>
        </w:rPr>
        <w:t>Podnositelji projektnih prijedloga koji mogu podnijeti zahtjev za poticaj u okviru sheme dodjele potpora trećim osobama</w:t>
      </w:r>
    </w:p>
    <w:p w:rsidR="00AD79B9" w:rsidRPr="00C30D99" w:rsidRDefault="00AD79B9" w:rsidP="00AD79B9">
      <w:pPr>
        <w:pStyle w:val="ListParagraph"/>
        <w:rPr>
          <w:rFonts w:asciiTheme="majorHAnsi" w:hAnsiTheme="majorHAnsi"/>
          <w:i/>
        </w:rPr>
      </w:pPr>
      <w:r w:rsidRPr="00C30D99">
        <w:rPr>
          <w:rFonts w:asciiTheme="majorHAnsi" w:hAnsiTheme="majorHAnsi"/>
          <w:i/>
        </w:rPr>
        <w:t>Za stjecanje prava na podnošenje zahtjeva za dodjelom bespovratnih sredstava, podnositelji projektnih prijedloga moraju</w:t>
      </w:r>
      <w:r w:rsidR="00C5325F" w:rsidRPr="00C30D99">
        <w:rPr>
          <w:rFonts w:asciiTheme="majorHAnsi" w:hAnsiTheme="majorHAnsi"/>
          <w:i/>
        </w:rPr>
        <w:t xml:space="preserve"> biti</w:t>
      </w:r>
      <w:r w:rsidRPr="00C30D99">
        <w:rPr>
          <w:rFonts w:asciiTheme="majorHAnsi" w:hAnsiTheme="majorHAnsi"/>
          <w:i/>
        </w:rPr>
        <w:t>:</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pravne osobe</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neprofitni</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nevladine organizacije ili udruženja nevladinih organizacija, tijela lokalne uprave ili udruženja tijela lokalne uprave</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osnovani u državi članici EU-a</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izravno odgovorni za pripremu i upravljanje aktivnostima, ne djelujući pritom kao posredni</w:t>
      </w:r>
      <w:r w:rsidR="00C5325F" w:rsidRPr="00C30D99">
        <w:rPr>
          <w:rFonts w:asciiTheme="majorHAnsi" w:hAnsiTheme="majorHAnsi"/>
        </w:rPr>
        <w:t>ci</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Aktivnosti za koje se stječe pravo na sudjelovanje</w:t>
      </w:r>
    </w:p>
    <w:p w:rsidR="00AD79B9" w:rsidRPr="00C30D99" w:rsidRDefault="00AD79B9" w:rsidP="00AD79B9">
      <w:pPr>
        <w:pStyle w:val="ListParagraph"/>
        <w:numPr>
          <w:ilvl w:val="0"/>
          <w:numId w:val="1"/>
        </w:numPr>
        <w:rPr>
          <w:rFonts w:asciiTheme="majorHAnsi" w:hAnsiTheme="majorHAnsi"/>
        </w:rPr>
      </w:pPr>
      <w:r w:rsidRPr="00C30D99">
        <w:rPr>
          <w:rFonts w:asciiTheme="majorHAnsi" w:hAnsiTheme="majorHAnsi"/>
        </w:rPr>
        <w:t>Aktivnosti za koje je moguća dodjela poticaja</w:t>
      </w:r>
    </w:p>
    <w:p w:rsidR="00AD79B9" w:rsidRPr="00C30D99" w:rsidRDefault="00AD79B9" w:rsidP="00AD79B9">
      <w:pPr>
        <w:ind w:left="360"/>
        <w:rPr>
          <w:rFonts w:asciiTheme="majorHAnsi" w:hAnsiTheme="majorHAnsi"/>
        </w:rPr>
      </w:pPr>
      <w:r w:rsidRPr="00C30D99">
        <w:rPr>
          <w:rFonts w:asciiTheme="majorHAnsi" w:hAnsiTheme="majorHAnsi"/>
          <w:u w:val="single"/>
        </w:rPr>
        <w:t xml:space="preserve">Trajanje: </w:t>
      </w:r>
      <w:r w:rsidRPr="00C30D99">
        <w:rPr>
          <w:rFonts w:asciiTheme="majorHAnsi" w:hAnsiTheme="majorHAnsi"/>
        </w:rPr>
        <w:t>aktivnosti za koje se odobravaju poticaji ne smiju trajati dulje od 11 mjeseci</w:t>
      </w:r>
    </w:p>
    <w:p w:rsidR="00AD79B9" w:rsidRPr="00C30D99" w:rsidRDefault="00AD79B9" w:rsidP="003D23FA">
      <w:pPr>
        <w:ind w:left="360"/>
        <w:jc w:val="both"/>
        <w:rPr>
          <w:rFonts w:asciiTheme="majorHAnsi" w:hAnsiTheme="majorHAnsi"/>
        </w:rPr>
      </w:pPr>
      <w:r w:rsidRPr="00C30D99">
        <w:rPr>
          <w:rFonts w:asciiTheme="majorHAnsi" w:hAnsiTheme="majorHAnsi"/>
          <w:u w:val="single"/>
        </w:rPr>
        <w:t>Sektor ili tematika</w:t>
      </w:r>
      <w:r w:rsidRPr="00C30D99">
        <w:rPr>
          <w:rFonts w:asciiTheme="majorHAnsi" w:hAnsiTheme="majorHAnsi"/>
        </w:rPr>
        <w:t xml:space="preserve">: aktivnosti za koje se odobravaju poticaji </w:t>
      </w:r>
      <w:r w:rsidRPr="00C30D99">
        <w:rPr>
          <w:rFonts w:asciiTheme="majorHAnsi" w:hAnsiTheme="majorHAnsi"/>
          <w:u w:val="single"/>
        </w:rPr>
        <w:t>moraju biti u skladu</w:t>
      </w:r>
      <w:r w:rsidRPr="00C30D99">
        <w:rPr>
          <w:rFonts w:asciiTheme="majorHAnsi" w:hAnsiTheme="majorHAnsi"/>
        </w:rPr>
        <w:t xml:space="preserve"> s ciljevima i prioritetima postojećeg projekta te s ciljevima programa „Nevladine organizacije i tijela lokalne samouprave u razvoju“, a osobito s pristupom edukacije za razvoj i podizanje svijesti (DEAR).</w:t>
      </w:r>
    </w:p>
    <w:p w:rsidR="00AD79B9" w:rsidRPr="00C30D99" w:rsidRDefault="00AD79B9" w:rsidP="00AD79B9">
      <w:pPr>
        <w:ind w:left="360"/>
        <w:rPr>
          <w:rFonts w:asciiTheme="majorHAnsi" w:hAnsiTheme="majorHAnsi"/>
        </w:rPr>
      </w:pPr>
      <w:r w:rsidRPr="00C30D99">
        <w:rPr>
          <w:rFonts w:asciiTheme="majorHAnsi" w:hAnsiTheme="majorHAnsi"/>
          <w:u w:val="single"/>
        </w:rPr>
        <w:t xml:space="preserve">Lokacija: </w:t>
      </w:r>
      <w:r w:rsidRPr="00C30D99">
        <w:rPr>
          <w:rFonts w:asciiTheme="majorHAnsi" w:hAnsiTheme="majorHAnsi"/>
        </w:rPr>
        <w:t>aktivnosti se moraju odvijati u državama članicama Europske unije</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Vrste aktivnosti koje se mogu uzeti u obzir</w:t>
      </w:r>
    </w:p>
    <w:p w:rsidR="00AD79B9" w:rsidRPr="00C30D99" w:rsidRDefault="001E5E8D" w:rsidP="001E5E8D">
      <w:pPr>
        <w:pStyle w:val="ListBullet"/>
        <w:numPr>
          <w:ilvl w:val="0"/>
          <w:numId w:val="0"/>
        </w:numPr>
        <w:ind w:left="360" w:hanging="360"/>
        <w:rPr>
          <w:rFonts w:asciiTheme="majorHAnsi" w:hAnsiTheme="majorHAnsi"/>
        </w:rPr>
      </w:pPr>
      <w:r w:rsidRPr="00C30D99">
        <w:rPr>
          <w:rFonts w:asciiTheme="majorHAnsi" w:hAnsiTheme="majorHAnsi"/>
          <w:u w:val="single"/>
        </w:rPr>
        <w:t>Popis različitih vrsta aktivnosti za koje je moguće steći pravo na poticaj (</w:t>
      </w:r>
      <w:r w:rsidRPr="00C30D99">
        <w:rPr>
          <w:rFonts w:asciiTheme="majorHAnsi" w:hAnsiTheme="majorHAnsi"/>
        </w:rPr>
        <w:t>popis nije konačan):</w:t>
      </w:r>
    </w:p>
    <w:p w:rsidR="001E5E8D" w:rsidRPr="00C30D99" w:rsidRDefault="001E5E8D" w:rsidP="001E5E8D">
      <w:pPr>
        <w:pStyle w:val="ListBullet"/>
        <w:numPr>
          <w:ilvl w:val="0"/>
          <w:numId w:val="0"/>
        </w:numPr>
        <w:ind w:left="360" w:hanging="360"/>
        <w:rPr>
          <w:rFonts w:asciiTheme="majorHAnsi" w:hAnsiTheme="majorHAnsi"/>
        </w:rPr>
      </w:pP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organiziranje razmjena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organiziranje edukacije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lastRenderedPageBreak/>
        <w:t>aktivnosti umrežavanja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informativne kampanje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podizanja svijesti</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razmjena najbolje prakse (npr. posjete, sastanci itd.)</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tematski seminari, radionice, izložbe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koje uključuju mlade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radni kampovi i druge volonterske aktivnosti</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publikacije priručnika, brošura, audiovizualnih uradaka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kreativne i kulturne aktivnosti</w:t>
      </w:r>
    </w:p>
    <w:p w:rsidR="001E5E8D" w:rsidRPr="00C30D99" w:rsidRDefault="001E5E8D" w:rsidP="001E5E8D">
      <w:pPr>
        <w:pStyle w:val="ListBullet"/>
        <w:numPr>
          <w:ilvl w:val="0"/>
          <w:numId w:val="0"/>
        </w:numPr>
        <w:rPr>
          <w:rFonts w:asciiTheme="majorHAnsi" w:hAnsiTheme="majorHAnsi"/>
        </w:rPr>
      </w:pPr>
    </w:p>
    <w:p w:rsidR="00D80708" w:rsidRPr="00C30D99" w:rsidRDefault="00D80708" w:rsidP="00D80708">
      <w:pPr>
        <w:pStyle w:val="Standard"/>
        <w:shd w:val="clear" w:color="auto" w:fill="FFFF99"/>
        <w:jc w:val="both"/>
        <w:rPr>
          <w:rFonts w:asciiTheme="majorHAnsi" w:hAnsiTheme="majorHAnsi"/>
        </w:rPr>
      </w:pPr>
      <w:r w:rsidRPr="00C30D99">
        <w:rPr>
          <w:rFonts w:asciiTheme="majorHAnsi" w:hAnsiTheme="majorHAnsi"/>
          <w:u w:val="single"/>
        </w:rPr>
        <w:t>Za sljedeće vrste aktivnosti ne stječe se pravo na sudjelovanje</w:t>
      </w:r>
      <w:r w:rsidRPr="00C30D99">
        <w:rPr>
          <w:rFonts w:asciiTheme="majorHAnsi" w:hAnsiTheme="majorHAnsi"/>
        </w:rPr>
        <w:t>:</w:t>
      </w:r>
    </w:p>
    <w:p w:rsidR="00D80708" w:rsidRPr="00C30D99" w:rsidRDefault="00D80708" w:rsidP="00D80708">
      <w:pPr>
        <w:pStyle w:val="Standard"/>
        <w:numPr>
          <w:ilvl w:val="0"/>
          <w:numId w:val="6"/>
        </w:numPr>
        <w:tabs>
          <w:tab w:val="left" w:pos="0"/>
        </w:tabs>
        <w:spacing w:after="0" w:line="240" w:lineRule="auto"/>
        <w:jc w:val="both"/>
        <w:rPr>
          <w:rFonts w:asciiTheme="majorHAnsi" w:hAnsiTheme="majorHAnsi"/>
        </w:rPr>
      </w:pPr>
      <w:r w:rsidRPr="00C30D99">
        <w:rPr>
          <w:rFonts w:asciiTheme="majorHAnsi" w:hAnsiTheme="majorHAnsi"/>
        </w:rPr>
        <w:t>aktivnosti koje isključivo ili velikim dijelom uključuju pojedinačna sponzorstva za sudjelovanje na radionicama, seminarima, konferencijama, kongresima;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isključivo ili velikim dijelom uključuju pojedinačne stipendije za studije ili tečajeve;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iz područja formalnog obrazovanja, osim u posebnim okolnostima;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jednokratne konferencije: konferencije se mogu financirati samo ako predstavljaju sastavni dio šireg niza aktivnosti koje se planiraju provoditi za vrijeme trajanja aktivnosti. U tom smislu, aktivnosti pripreme konferencije i objavljivanja zbornika radova s konferencije same po sebi ne predstavljaju takve „šire aktivnosti“;</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imaju za cilj prikupljanje financijskih sredstava ili promicanje vidljivost podnositelja projektnih prijedloga ili njihovih partnera;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uglavnom istraživanja ili studije;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isključivo ili prvenstveno kapitalna ulaganja, primjerice u zemljišta, zgrade, opremu i vozila, osim u posebnim okolnostima;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 xml:space="preserve">aktivnosti koje su diskriminirajuće u odnosu na pojedine skupine ljudi na osnovi njihova spola, seksualne orijentacije, vjerskih uvjerenja ili njihova nedostatka, </w:t>
      </w:r>
      <w:r w:rsidR="00C5325F" w:rsidRPr="00C30D99">
        <w:rPr>
          <w:rFonts w:asciiTheme="majorHAnsi" w:hAnsiTheme="majorHAnsi"/>
        </w:rPr>
        <w:t xml:space="preserve">odnosno </w:t>
      </w:r>
      <w:r w:rsidRPr="00C30D99">
        <w:rPr>
          <w:rFonts w:asciiTheme="majorHAnsi" w:hAnsiTheme="majorHAnsi"/>
        </w:rPr>
        <w:t>njihove etničke pripadnosti;</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podupiru pojedine političke stranke;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prozelitizam</w:t>
      </w:r>
      <w:r w:rsidRPr="00C30D99">
        <w:rPr>
          <w:rFonts w:asciiTheme="majorHAnsi" w:hAnsiTheme="majorHAnsi" w:cs="TimesNewRoman"/>
        </w:rPr>
        <w:t>.</w:t>
      </w:r>
    </w:p>
    <w:p w:rsidR="00D80708" w:rsidRPr="00C30D99" w:rsidRDefault="00D80708" w:rsidP="001E5E8D">
      <w:pPr>
        <w:pStyle w:val="ListBullet"/>
        <w:numPr>
          <w:ilvl w:val="0"/>
          <w:numId w:val="0"/>
        </w:numPr>
        <w:rPr>
          <w:rFonts w:asciiTheme="majorHAnsi" w:hAnsiTheme="majorHAnsi"/>
        </w:rPr>
      </w:pPr>
    </w:p>
    <w:p w:rsidR="00D80708" w:rsidRPr="00C30D99" w:rsidRDefault="00D80708" w:rsidP="001E5E8D">
      <w:pPr>
        <w:pStyle w:val="ListBullet"/>
        <w:numPr>
          <w:ilvl w:val="0"/>
          <w:numId w:val="0"/>
        </w:numPr>
        <w:rPr>
          <w:rFonts w:asciiTheme="majorHAnsi" w:hAnsiTheme="majorHAnsi"/>
        </w:rPr>
      </w:pPr>
    </w:p>
    <w:p w:rsidR="00D80708" w:rsidRPr="00C30D99" w:rsidRDefault="00765FE4" w:rsidP="00D80708">
      <w:pPr>
        <w:pStyle w:val="ListBullet"/>
        <w:numPr>
          <w:ilvl w:val="0"/>
          <w:numId w:val="0"/>
        </w:numPr>
        <w:shd w:val="clear" w:color="auto" w:fill="FFFF99"/>
        <w:rPr>
          <w:rFonts w:asciiTheme="majorHAnsi" w:hAnsiTheme="majorHAnsi"/>
        </w:rPr>
      </w:pPr>
      <w:r w:rsidRPr="00C30D99">
        <w:rPr>
          <w:rFonts w:asciiTheme="majorHAnsi" w:hAnsiTheme="majorHAnsi"/>
        </w:rPr>
        <w:t xml:space="preserve">Selekcijski kriteriji </w:t>
      </w:r>
    </w:p>
    <w:p w:rsidR="00F7635B" w:rsidRPr="00C30D99" w:rsidRDefault="00D80708" w:rsidP="00D80708">
      <w:pPr>
        <w:pStyle w:val="Standard"/>
        <w:tabs>
          <w:tab w:val="left" w:pos="0"/>
        </w:tabs>
        <w:jc w:val="both"/>
        <w:rPr>
          <w:rFonts w:asciiTheme="majorHAnsi" w:hAnsiTheme="majorHAnsi"/>
        </w:rPr>
      </w:pPr>
      <w:r w:rsidRPr="00C30D99">
        <w:rPr>
          <w:rFonts w:asciiTheme="majorHAnsi" w:hAnsiTheme="majorHAnsi"/>
        </w:rPr>
        <w:t>Točan iznos financijskih sredstava trećih osoba odredit će Selekcijski odbor vodeći se načelima učinkovitog financijskog poslovanja, osobito načela vrijednosti za uloženi novac te učinkovitosti troškova. Selekcijski postupak će, između ostalog, uzimati u obzir značaj projektnog prijedloga u odnosu na ciljeve LADDER-a, sposobnost djelovanja prema van, originalnost i inovativnost pristupa, značaj za lokalnu zajednicu, sposobnost podizanja svijesti građana o temama globalnog razvoja te uključivanje ostalih subjekata, nevladinih organizacija, tijela lokalne uprave. Samo će odabrani projektni prijedlozi dobiti povratnu informaciju.</w:t>
      </w:r>
    </w:p>
    <w:p w:rsidR="00D80708" w:rsidRPr="00C30D99" w:rsidRDefault="00D80708" w:rsidP="001E5E8D">
      <w:pPr>
        <w:pStyle w:val="ListBullet"/>
        <w:numPr>
          <w:ilvl w:val="0"/>
          <w:numId w:val="0"/>
        </w:numPr>
        <w:rPr>
          <w:rFonts w:asciiTheme="majorHAnsi" w:hAnsiTheme="majorHAnsi"/>
        </w:rPr>
      </w:pPr>
    </w:p>
    <w:p w:rsidR="001E5E8D" w:rsidRPr="00C30D99" w:rsidRDefault="00D80708" w:rsidP="00D80708">
      <w:pPr>
        <w:pStyle w:val="ListBullet"/>
        <w:numPr>
          <w:ilvl w:val="0"/>
          <w:numId w:val="0"/>
        </w:numPr>
        <w:shd w:val="clear" w:color="auto" w:fill="FFFF99"/>
        <w:rPr>
          <w:rFonts w:asciiTheme="majorHAnsi" w:hAnsiTheme="majorHAnsi"/>
        </w:rPr>
      </w:pPr>
      <w:r w:rsidRPr="00C30D99">
        <w:rPr>
          <w:rFonts w:asciiTheme="majorHAnsi" w:hAnsiTheme="majorHAnsi"/>
        </w:rPr>
        <w:t>Proračun</w:t>
      </w:r>
    </w:p>
    <w:p w:rsidR="00D80708" w:rsidRPr="00C30D99" w:rsidRDefault="00D80708" w:rsidP="00D80708">
      <w:pPr>
        <w:pStyle w:val="Standard"/>
        <w:tabs>
          <w:tab w:val="left" w:pos="0"/>
        </w:tabs>
        <w:jc w:val="both"/>
        <w:rPr>
          <w:rFonts w:asciiTheme="majorHAnsi" w:hAnsiTheme="majorHAnsi"/>
        </w:rPr>
      </w:pPr>
      <w:r w:rsidRPr="00C30D99">
        <w:rPr>
          <w:rFonts w:asciiTheme="majorHAnsi" w:hAnsiTheme="majorHAnsi"/>
        </w:rPr>
        <w:t>Minimalni iznos financijske podrške p</w:t>
      </w:r>
      <w:r w:rsidR="00ED6536">
        <w:rPr>
          <w:rFonts w:asciiTheme="majorHAnsi" w:hAnsiTheme="majorHAnsi"/>
        </w:rPr>
        <w:t>o trećoj osobi („sredstva“) je 2</w:t>
      </w:r>
      <w:bookmarkStart w:id="0" w:name="_GoBack"/>
      <w:bookmarkEnd w:id="0"/>
      <w:r w:rsidRPr="00C30D99">
        <w:rPr>
          <w:rFonts w:asciiTheme="majorHAnsi" w:hAnsiTheme="majorHAnsi"/>
        </w:rPr>
        <w:t xml:space="preserve">.000 eura, a maksimalni iznos je 6.000 eura. Udio vlastitih sredstava (koji pokriva podnositelj prijedloga za dodjelu potpore u okviru ove sheme dodjele potpora trećim osobama) u ukupnim proračunskim sredstvima projektnog prijedloga </w:t>
      </w:r>
      <w:r w:rsidRPr="00C30D99">
        <w:rPr>
          <w:rFonts w:asciiTheme="majorHAnsi" w:hAnsiTheme="majorHAnsi"/>
          <w:u w:val="single"/>
        </w:rPr>
        <w:t>ne može</w:t>
      </w:r>
      <w:r w:rsidRPr="00C30D99">
        <w:rPr>
          <w:rFonts w:asciiTheme="majorHAnsi" w:hAnsiTheme="majorHAnsi"/>
        </w:rPr>
        <w:t xml:space="preserve"> potjecati iz fondova EU-a ili drugih programa i izvora te se o vlastitim sredstvima mora podnijeti izvješće potkrijepljeno dokazima (računima, dokazima o izvršenim plaćanjima itd.).  </w:t>
      </w:r>
      <w:r w:rsidR="00C5325F" w:rsidRPr="00C30D99">
        <w:rPr>
          <w:rFonts w:asciiTheme="majorHAnsi" w:hAnsiTheme="majorHAnsi"/>
        </w:rPr>
        <w:t>P</w:t>
      </w:r>
      <w:r w:rsidRPr="00C30D99">
        <w:rPr>
          <w:rFonts w:asciiTheme="majorHAnsi" w:hAnsiTheme="majorHAnsi"/>
        </w:rPr>
        <w:t>laćanja u naravi</w:t>
      </w:r>
      <w:r w:rsidR="00C5325F" w:rsidRPr="00C30D99">
        <w:rPr>
          <w:rFonts w:asciiTheme="majorHAnsi" w:hAnsiTheme="majorHAnsi"/>
        </w:rPr>
        <w:t xml:space="preserve"> se ne priznaju</w:t>
      </w:r>
      <w:r w:rsidRPr="00C30D99">
        <w:rPr>
          <w:rFonts w:asciiTheme="majorHAnsi" w:hAnsiTheme="majorHAnsi"/>
        </w:rPr>
        <w:t>.</w:t>
      </w:r>
    </w:p>
    <w:p w:rsidR="00D80708" w:rsidRPr="00C30D99" w:rsidRDefault="00D80708" w:rsidP="00D80708">
      <w:pPr>
        <w:pStyle w:val="Standard"/>
        <w:tabs>
          <w:tab w:val="left" w:pos="0"/>
        </w:tabs>
        <w:jc w:val="both"/>
        <w:rPr>
          <w:rFonts w:asciiTheme="majorHAnsi" w:hAnsiTheme="majorHAnsi"/>
        </w:rPr>
      </w:pPr>
      <w:r w:rsidRPr="00C30D99">
        <w:rPr>
          <w:rFonts w:asciiTheme="majorHAnsi" w:hAnsiTheme="majorHAnsi"/>
        </w:rPr>
        <w:lastRenderedPageBreak/>
        <w:t xml:space="preserve">Shema dodjele potpora trećim osobama zamišljena je kao </w:t>
      </w:r>
      <w:r w:rsidRPr="00C30D99">
        <w:rPr>
          <w:rFonts w:asciiTheme="majorHAnsi" w:hAnsiTheme="majorHAnsi"/>
          <w:u w:val="single"/>
        </w:rPr>
        <w:t>sufinanciranje</w:t>
      </w:r>
      <w:r w:rsidRPr="00C30D99">
        <w:rPr>
          <w:rFonts w:asciiTheme="majorHAnsi" w:hAnsiTheme="majorHAnsi"/>
        </w:rPr>
        <w:t xml:space="preserve"> koje može pokriti </w:t>
      </w:r>
      <w:r w:rsidRPr="00C30D99">
        <w:rPr>
          <w:rFonts w:asciiTheme="majorHAnsi" w:hAnsiTheme="majorHAnsi"/>
          <w:u w:val="single"/>
        </w:rPr>
        <w:t>do 50 %</w:t>
      </w:r>
      <w:r w:rsidRPr="00C30D99">
        <w:rPr>
          <w:rFonts w:asciiTheme="majorHAnsi" w:hAnsiTheme="majorHAnsi"/>
        </w:rPr>
        <w:t xml:space="preserve"> ukupnog proračuna projekta u okviru sheme dodjele potpora trećim osobama. Nema ograničenja u pogledu ukupnog proračuna projekta u smislu </w:t>
      </w:r>
      <w:r w:rsidR="00C5325F" w:rsidRPr="00C30D99">
        <w:rPr>
          <w:rFonts w:asciiTheme="majorHAnsi" w:hAnsiTheme="majorHAnsi"/>
        </w:rPr>
        <w:t xml:space="preserve">gore </w:t>
      </w:r>
      <w:r w:rsidR="00C30D99" w:rsidRPr="00C30D99">
        <w:rPr>
          <w:rFonts w:asciiTheme="majorHAnsi" w:hAnsiTheme="majorHAnsi"/>
        </w:rPr>
        <w:t>nave</w:t>
      </w:r>
      <w:r w:rsidR="00C30D99">
        <w:rPr>
          <w:rFonts w:asciiTheme="majorHAnsi" w:hAnsiTheme="majorHAnsi"/>
        </w:rPr>
        <w:t>d</w:t>
      </w:r>
      <w:r w:rsidR="00C30D99" w:rsidRPr="00C30D99">
        <w:rPr>
          <w:rFonts w:asciiTheme="majorHAnsi" w:hAnsiTheme="majorHAnsi"/>
        </w:rPr>
        <w:t xml:space="preserve">enog </w:t>
      </w:r>
      <w:r w:rsidRPr="00C30D99">
        <w:rPr>
          <w:rFonts w:asciiTheme="majorHAnsi" w:hAnsiTheme="majorHAnsi"/>
        </w:rPr>
        <w:t>maksimalnog iznosa i postotka.</w:t>
      </w:r>
    </w:p>
    <w:p w:rsidR="00D80708" w:rsidRPr="00C30D99" w:rsidRDefault="00D80708" w:rsidP="00D80708">
      <w:pPr>
        <w:pStyle w:val="Standard"/>
        <w:spacing w:after="0" w:line="240" w:lineRule="auto"/>
        <w:jc w:val="both"/>
        <w:rPr>
          <w:rFonts w:asciiTheme="majorHAnsi" w:eastAsiaTheme="minorHAnsi" w:hAnsiTheme="majorHAnsi" w:cstheme="minorBidi"/>
          <w:kern w:val="0"/>
        </w:rPr>
      </w:pPr>
    </w:p>
    <w:p w:rsidR="005A430D" w:rsidRPr="00C30D99" w:rsidRDefault="005A430D" w:rsidP="005A430D">
      <w:pPr>
        <w:pStyle w:val="Standard"/>
        <w:shd w:val="clear" w:color="auto" w:fill="FFFF99"/>
        <w:spacing w:after="0" w:line="240" w:lineRule="auto"/>
        <w:jc w:val="both"/>
        <w:rPr>
          <w:rFonts w:asciiTheme="majorHAnsi" w:eastAsiaTheme="minorHAnsi" w:hAnsiTheme="majorHAnsi" w:cstheme="minorBidi"/>
          <w:kern w:val="0"/>
        </w:rPr>
      </w:pPr>
      <w:r w:rsidRPr="00C30D99">
        <w:rPr>
          <w:rFonts w:asciiTheme="majorHAnsi" w:eastAsiaTheme="minorHAnsi" w:hAnsiTheme="majorHAnsi" w:cstheme="minorBidi"/>
          <w:kern w:val="0"/>
        </w:rPr>
        <w:t>Rok za podnošenje prijava</w:t>
      </w:r>
    </w:p>
    <w:p w:rsidR="005A430D" w:rsidRPr="00C30D99" w:rsidRDefault="005A430D" w:rsidP="00D80708">
      <w:pPr>
        <w:pStyle w:val="Standard"/>
        <w:spacing w:after="0" w:line="240" w:lineRule="auto"/>
        <w:jc w:val="both"/>
        <w:rPr>
          <w:rFonts w:asciiTheme="majorHAnsi" w:eastAsiaTheme="minorHAnsi" w:hAnsiTheme="majorHAnsi" w:cstheme="minorBidi"/>
          <w:kern w:val="0"/>
        </w:rPr>
      </w:pPr>
      <w:r w:rsidRPr="00C30D99">
        <w:rPr>
          <w:rFonts w:asciiTheme="majorHAnsi" w:eastAsiaTheme="minorHAnsi" w:hAnsiTheme="majorHAnsi" w:cstheme="minorBidi"/>
          <w:kern w:val="0"/>
        </w:rPr>
        <w:t>Prijedlog se mora podnijeti 45 (kalendarskih) dana od datuma objavljivanja ovog poziva za podnošenje projektnih prijedloga.</w:t>
      </w:r>
    </w:p>
    <w:p w:rsidR="005A430D" w:rsidRPr="00C30D99" w:rsidRDefault="005A430D" w:rsidP="00D80708">
      <w:pPr>
        <w:pStyle w:val="Standard"/>
        <w:spacing w:after="0" w:line="240" w:lineRule="auto"/>
        <w:jc w:val="both"/>
        <w:rPr>
          <w:rFonts w:asciiTheme="majorHAnsi" w:eastAsiaTheme="minorHAnsi" w:hAnsiTheme="majorHAnsi" w:cstheme="minorBidi"/>
          <w:kern w:val="0"/>
        </w:rPr>
      </w:pPr>
    </w:p>
    <w:p w:rsidR="00D80708" w:rsidRPr="00C30D99" w:rsidRDefault="00D80708" w:rsidP="00D80708">
      <w:pPr>
        <w:pStyle w:val="Standard"/>
        <w:shd w:val="clear" w:color="auto" w:fill="FFFF99"/>
        <w:spacing w:after="0" w:line="240" w:lineRule="auto"/>
        <w:jc w:val="both"/>
        <w:rPr>
          <w:rFonts w:asciiTheme="majorHAnsi" w:hAnsiTheme="majorHAnsi"/>
        </w:rPr>
      </w:pPr>
      <w:r w:rsidRPr="00C30D99">
        <w:rPr>
          <w:rFonts w:asciiTheme="majorHAnsi" w:hAnsiTheme="majorHAnsi"/>
        </w:rPr>
        <w:t>Izvješćivanje</w:t>
      </w:r>
    </w:p>
    <w:p w:rsidR="00D80708" w:rsidRPr="00C30D99" w:rsidRDefault="007F56C4" w:rsidP="00D80708">
      <w:pPr>
        <w:pStyle w:val="Standard"/>
        <w:jc w:val="both"/>
        <w:rPr>
          <w:rFonts w:asciiTheme="majorHAnsi" w:hAnsiTheme="majorHAnsi"/>
        </w:rPr>
      </w:pPr>
      <w:r w:rsidRPr="00C30D99">
        <w:rPr>
          <w:rFonts w:asciiTheme="majorHAnsi" w:hAnsiTheme="majorHAnsi"/>
        </w:rPr>
        <w:t>Korisnici osiguravaju potrebna izvješća (tek</w:t>
      </w:r>
      <w:r w:rsidR="00C5325F" w:rsidRPr="00C30D99">
        <w:rPr>
          <w:rFonts w:asciiTheme="majorHAnsi" w:hAnsiTheme="majorHAnsi"/>
        </w:rPr>
        <w:t>s</w:t>
      </w:r>
      <w:r w:rsidRPr="00C30D99">
        <w:rPr>
          <w:rFonts w:asciiTheme="majorHAnsi" w:hAnsiTheme="majorHAnsi"/>
        </w:rPr>
        <w:t>tualna i financijska izvješća uz popratnu dokumentaciju) na za to predviđenim obrascima, uključujući fotografije/slike i predstavljanja javnosti (online poveznice, publikacije itd.).</w:t>
      </w:r>
    </w:p>
    <w:p w:rsidR="00D80708" w:rsidRPr="00C30D99" w:rsidRDefault="00D80708" w:rsidP="00D80708">
      <w:pPr>
        <w:shd w:val="clear" w:color="auto" w:fill="FFFF99"/>
        <w:suppressAutoHyphens/>
        <w:autoSpaceDN w:val="0"/>
        <w:textAlignment w:val="baseline"/>
        <w:rPr>
          <w:rFonts w:asciiTheme="majorHAnsi" w:hAnsiTheme="majorHAnsi" w:cs="Arial"/>
        </w:rPr>
      </w:pPr>
      <w:r w:rsidRPr="00C30D99">
        <w:rPr>
          <w:rFonts w:asciiTheme="majorHAnsi" w:hAnsiTheme="majorHAnsi" w:cs="Arial"/>
        </w:rPr>
        <w:t>Komunikacija i vidljivost</w:t>
      </w:r>
    </w:p>
    <w:p w:rsidR="00D80708" w:rsidRPr="00C30D99" w:rsidRDefault="00D80708" w:rsidP="00D80708">
      <w:pPr>
        <w:pStyle w:val="Standard"/>
        <w:jc w:val="both"/>
        <w:rPr>
          <w:rFonts w:asciiTheme="majorHAnsi" w:hAnsiTheme="majorHAnsi" w:cs="Arial"/>
        </w:rPr>
      </w:pPr>
      <w:r w:rsidRPr="00C30D99">
        <w:rPr>
          <w:rFonts w:asciiTheme="majorHAnsi" w:hAnsiTheme="majorHAnsi" w:cs="Arial"/>
        </w:rPr>
        <w:t xml:space="preserve">Odabrani projekti kojima se dodjeljuju potpore u okviru sheme dodjele potpora trećim osobama moraju u potpunosti uvažavati zahtjeve za vidljivošću i komunikacijom vezane uz projekt LADDER, uključujući logotipe LADDER, ALDA i EU (+ navođenje </w:t>
      </w:r>
      <w:r w:rsidR="007517BE" w:rsidRPr="00C30D99">
        <w:rPr>
          <w:rFonts w:asciiTheme="majorHAnsi" w:hAnsiTheme="majorHAnsi" w:cs="Arial"/>
        </w:rPr>
        <w:t>„</w:t>
      </w:r>
      <w:r w:rsidRPr="00C30D99">
        <w:rPr>
          <w:rFonts w:asciiTheme="majorHAnsi" w:hAnsiTheme="majorHAnsi" w:cs="Arial"/>
        </w:rPr>
        <w:t>uz financijsku podršku EU-a</w:t>
      </w:r>
      <w:r w:rsidR="007517BE" w:rsidRPr="00C30D99">
        <w:rPr>
          <w:rFonts w:asciiTheme="majorHAnsi" w:hAnsiTheme="majorHAnsi" w:cs="Arial"/>
        </w:rPr>
        <w:t>“</w:t>
      </w:r>
      <w:r w:rsidRPr="00C30D99">
        <w:rPr>
          <w:rFonts w:asciiTheme="majorHAnsi" w:hAnsiTheme="majorHAnsi" w:cs="Arial"/>
        </w:rPr>
        <w:t xml:space="preserve">) u svim publikacijama, spominjanjima, dokumentima, novostima, kao i bilo kojoj drugoj aktivnosti vidljivosti i komunikacije projekta, u skladu s </w:t>
      </w:r>
      <w:hyperlink r:id="rId8" w:history="1">
        <w:r w:rsidRPr="00C30D99">
          <w:rPr>
            <w:rFonts w:asciiTheme="majorHAnsi" w:hAnsiTheme="majorHAnsi" w:cs="Arial"/>
          </w:rPr>
          <w:t>Priručnikom o komunikaciji i vidljivosti u vanjskom djelovanju Europske unije</w:t>
        </w:r>
      </w:hyperlink>
      <w:r w:rsidRPr="00C30D99">
        <w:rPr>
          <w:rFonts w:asciiTheme="majorHAnsi" w:hAnsiTheme="majorHAnsi" w:cs="Arial"/>
        </w:rPr>
        <w:t>.</w:t>
      </w:r>
    </w:p>
    <w:p w:rsidR="00D80708" w:rsidRPr="00C30D99" w:rsidRDefault="00D80708" w:rsidP="007517BE">
      <w:pPr>
        <w:pStyle w:val="Footer"/>
        <w:ind w:left="284" w:right="43" w:firstLine="142"/>
        <w:rPr>
          <w:rFonts w:asciiTheme="majorHAnsi" w:hAnsiTheme="majorHAnsi" w:cs="Arial"/>
        </w:rPr>
      </w:pPr>
      <w:r w:rsidRPr="00C30D99">
        <w:rPr>
          <w:rFonts w:asciiTheme="majorHAnsi" w:hAnsiTheme="majorHAnsi" w:cs="Arial"/>
        </w:rPr>
        <w:t xml:space="preserve"> (</w:t>
      </w:r>
      <w:hyperlink r:id="rId9" w:history="1">
        <w:r w:rsidRPr="00C30D99">
          <w:rPr>
            <w:rFonts w:asciiTheme="majorHAnsi" w:hAnsiTheme="majorHAnsi" w:cs="Arial"/>
          </w:rPr>
          <w:t>https://ec.europa.eu/europeaid/sites/devco/files/communication_and_visibility_manual_en.pdf</w:t>
        </w:r>
      </w:hyperlink>
      <w:r w:rsidRPr="00C30D99">
        <w:rPr>
          <w:rFonts w:asciiTheme="majorHAnsi" w:hAnsiTheme="majorHAnsi" w:cs="Arial"/>
        </w:rPr>
        <w:t>).</w:t>
      </w:r>
    </w:p>
    <w:p w:rsidR="00D80708" w:rsidRPr="00C30D99" w:rsidRDefault="00D80708" w:rsidP="001E5E8D">
      <w:pPr>
        <w:pStyle w:val="ListBullet"/>
        <w:numPr>
          <w:ilvl w:val="0"/>
          <w:numId w:val="0"/>
        </w:numPr>
        <w:rPr>
          <w:rFonts w:asciiTheme="majorHAnsi" w:hAnsiTheme="majorHAnsi"/>
        </w:rPr>
      </w:pPr>
    </w:p>
    <w:p w:rsidR="00AD79B9" w:rsidRPr="00C30D99" w:rsidRDefault="00AD79B9" w:rsidP="00AD79B9">
      <w:pPr>
        <w:ind w:left="720"/>
        <w:rPr>
          <w:rFonts w:asciiTheme="majorHAnsi" w:hAnsiTheme="majorHAnsi"/>
        </w:rPr>
      </w:pPr>
    </w:p>
    <w:sectPr w:rsidR="00AD79B9" w:rsidRPr="00C30D99" w:rsidSect="00D80708">
      <w:headerReference w:type="default" r:id="rId10"/>
      <w:footerReference w:type="default" r:id="rId11"/>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9A" w:rsidRDefault="00A0479A" w:rsidP="00A455AC">
      <w:pPr>
        <w:spacing w:after="0" w:line="240" w:lineRule="auto"/>
      </w:pPr>
      <w:r>
        <w:separator/>
      </w:r>
    </w:p>
  </w:endnote>
  <w:endnote w:type="continuationSeparator" w:id="0">
    <w:p w:rsidR="00A0479A" w:rsidRDefault="00A0479A" w:rsidP="00A4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altName w:val="KG Corner of the Sky"/>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AC" w:rsidRDefault="00D80708" w:rsidP="00A455AC">
    <w:pPr>
      <w:pStyle w:val="Footer"/>
      <w:ind w:left="1416"/>
      <w:rPr>
        <w:noProof/>
        <w:lang w:eastAsia="it-IT"/>
      </w:rPr>
    </w:pPr>
    <w:r>
      <w:rPr>
        <w:noProof/>
        <w:lang w:eastAsia="hr-HR"/>
      </w:rPr>
      <w:drawing>
        <wp:anchor distT="0" distB="0" distL="114300" distR="114300" simplePos="0" relativeHeight="251661312" behindDoc="0" locked="0" layoutInCell="1" allowOverlap="1">
          <wp:simplePos x="0" y="0"/>
          <wp:positionH relativeFrom="margin">
            <wp:posOffset>5261610</wp:posOffset>
          </wp:positionH>
          <wp:positionV relativeFrom="margin">
            <wp:posOffset>9003030</wp:posOffset>
          </wp:positionV>
          <wp:extent cx="419100" cy="295275"/>
          <wp:effectExtent l="19050" t="0" r="0" b="0"/>
          <wp:wrapSquare wrapText="bothSides"/>
          <wp:docPr id="4" name="Image 4"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flag"/>
                  <pic:cNvPicPr>
                    <a:picLocks noChangeAspect="1" noChangeArrowheads="1"/>
                  </pic:cNvPicPr>
                </pic:nvPicPr>
                <pic:blipFill>
                  <a:blip r:embed="rId1"/>
                  <a:srcRect/>
                  <a:stretch>
                    <a:fillRect/>
                  </a:stretch>
                </pic:blipFill>
                <pic:spPr bwMode="auto">
                  <a:xfrm>
                    <a:off x="0" y="0"/>
                    <a:ext cx="419100" cy="295275"/>
                  </a:xfrm>
                  <a:prstGeom prst="rect">
                    <a:avLst/>
                  </a:prstGeom>
                  <a:noFill/>
                  <a:ln w="9525">
                    <a:noFill/>
                    <a:miter lim="800000"/>
                    <a:headEnd/>
                    <a:tailEnd/>
                  </a:ln>
                </pic:spPr>
              </pic:pic>
            </a:graphicData>
          </a:graphic>
        </wp:anchor>
      </w:drawing>
    </w:r>
    <w:r>
      <w:rPr>
        <w:noProof/>
        <w:lang w:eastAsia="hr-HR"/>
      </w:rPr>
      <w:drawing>
        <wp:anchor distT="0" distB="0" distL="114300" distR="114300" simplePos="0" relativeHeight="251659264" behindDoc="0" locked="0" layoutInCell="1" allowOverlap="1">
          <wp:simplePos x="0" y="0"/>
          <wp:positionH relativeFrom="margin">
            <wp:posOffset>3810</wp:posOffset>
          </wp:positionH>
          <wp:positionV relativeFrom="margin">
            <wp:posOffset>8917305</wp:posOffset>
          </wp:positionV>
          <wp:extent cx="685800" cy="5334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DA_LOGO NEW.png"/>
                  <pic:cNvPicPr/>
                </pic:nvPicPr>
                <pic:blipFill>
                  <a:blip r:embed="rId2">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anchor>
      </w:drawing>
    </w:r>
    <w:r>
      <w:tab/>
    </w:r>
    <w:r>
      <w:tab/>
    </w:r>
    <w:r>
      <w:rPr>
        <w:noProof/>
      </w:rPr>
      <w:t xml:space="preserve"> </w:t>
    </w:r>
  </w:p>
  <w:p w:rsidR="00A455AC" w:rsidRDefault="00A0479A" w:rsidP="00A455AC">
    <w:pPr>
      <w:pStyle w:val="Footer"/>
      <w:tabs>
        <w:tab w:val="clear" w:pos="4819"/>
        <w:tab w:val="clear" w:pos="9638"/>
        <w:tab w:val="left" w:pos="4032"/>
      </w:tabs>
    </w:pPr>
    <w:r>
      <w:rPr>
        <w:noProof/>
        <w:lang w:eastAsia="hr-HR"/>
      </w:rPr>
      <w:pict>
        <v:shapetype id="_x0000_t202" coordsize="21600,21600" o:spt="202" path="m,l,21600r21600,l21600,xe">
          <v:stroke joinstyle="miter"/>
          <v:path gradientshapeok="t" o:connecttype="rect"/>
        </v:shapetype>
        <v:shape id="Casella di testo 1" o:spid="_x0000_s2049" type="#_x0000_t202" style="position:absolute;margin-left:363pt;margin-top:18.35pt;width:133.8pt;height:1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" fillcolor="white [3201]" stroked="f" strokeweight=".5pt">
          <v:textbox>
            <w:txbxContent>
              <w:p w:rsidR="00A455AC" w:rsidRPr="00D80708" w:rsidRDefault="00A455AC">
                <w:pPr>
                  <w:rPr>
                    <w:sz w:val="16"/>
                    <w:szCs w:val="18"/>
                  </w:rPr>
                </w:pPr>
                <w:r>
                  <w:rPr>
                    <w:sz w:val="16"/>
                  </w:rPr>
                  <w:t>Uz financijsku podršku EU-a</w:t>
                </w:r>
              </w:p>
            </w:txbxContent>
          </v:textbox>
        </v:shape>
      </w:pict>
    </w:r>
    <w:r w:rsidR="007212BB">
      <w:tab/>
    </w:r>
    <w:r w:rsidR="007212BB">
      <w:tab/>
    </w:r>
    <w:r w:rsidR="007212BB">
      <w:tab/>
    </w:r>
    <w:r w:rsidR="007212B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9A" w:rsidRDefault="00A0479A" w:rsidP="00A455AC">
      <w:pPr>
        <w:spacing w:after="0" w:line="240" w:lineRule="auto"/>
      </w:pPr>
      <w:r>
        <w:separator/>
      </w:r>
    </w:p>
  </w:footnote>
  <w:footnote w:type="continuationSeparator" w:id="0">
    <w:p w:rsidR="00A0479A" w:rsidRDefault="00A0479A" w:rsidP="00A45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08" w:rsidRDefault="00D80708" w:rsidP="00D80708">
    <w:pPr>
      <w:pStyle w:val="Header"/>
      <w:jc w:val="right"/>
      <w:rPr>
        <w:noProof/>
        <w:lang w:eastAsia="fr-BE"/>
      </w:rPr>
    </w:pPr>
    <w:r>
      <w:rPr>
        <w:rFonts w:asciiTheme="majorHAnsi" w:hAnsiTheme="majorHAnsi"/>
        <w:noProof/>
        <w:sz w:val="28"/>
        <w:lang w:eastAsia="hr-HR"/>
      </w:rPr>
      <w:drawing>
        <wp:anchor distT="0" distB="0" distL="114300" distR="114300" simplePos="0" relativeHeight="251663360" behindDoc="0" locked="0" layoutInCell="1" allowOverlap="1">
          <wp:simplePos x="0" y="0"/>
          <wp:positionH relativeFrom="margin">
            <wp:posOffset>3810</wp:posOffset>
          </wp:positionH>
          <wp:positionV relativeFrom="margin">
            <wp:posOffset>-760095</wp:posOffset>
          </wp:positionV>
          <wp:extent cx="1524000" cy="685800"/>
          <wp:effectExtent l="19050" t="0" r="0" b="0"/>
          <wp:wrapSquare wrapText="bothSides"/>
          <wp:docPr id="3" name="Immagine 3" descr="LADDER 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DER logo (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anchor>
      </w:drawing>
    </w:r>
    <w:r>
      <w:rPr>
        <w:rFonts w:asciiTheme="majorHAnsi" w:hAnsiTheme="majorHAnsi"/>
        <w:noProof/>
        <w:sz w:val="28"/>
      </w:rPr>
      <w:t>LADDER dodjele potpora trećim osobama</w:t>
    </w:r>
  </w:p>
  <w:p w:rsidR="00D80708" w:rsidRDefault="00D80708" w:rsidP="00D80708">
    <w:pPr>
      <w:pStyle w:val="Header"/>
      <w:jc w:val="right"/>
      <w:rPr>
        <w:noProof/>
        <w:lang w:eastAsia="fr-BE"/>
      </w:rPr>
    </w:pPr>
    <w:r>
      <w:rPr>
        <w:noProof/>
      </w:rPr>
      <w:t>Poziv na podnošenje projektnih prijedloga</w:t>
    </w:r>
  </w:p>
  <w:p w:rsidR="00A455AC" w:rsidRDefault="00D80708" w:rsidP="00D80708">
    <w:pPr>
      <w:pStyle w:val="Header"/>
      <w:jc w:val="right"/>
    </w:pPr>
    <w:r>
      <w:rPr>
        <w:noProof/>
      </w:rPr>
      <w:t>Upute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0848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E6534"/>
    <w:multiLevelType w:val="hybridMultilevel"/>
    <w:tmpl w:val="1D62BB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338FC"/>
    <w:multiLevelType w:val="hybridMultilevel"/>
    <w:tmpl w:val="D4B8196C"/>
    <w:lvl w:ilvl="0" w:tplc="B3206C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2C6859"/>
    <w:multiLevelType w:val="hybridMultilevel"/>
    <w:tmpl w:val="CF84B5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060C03"/>
    <w:multiLevelType w:val="multilevel"/>
    <w:tmpl w:val="2346B75C"/>
    <w:styleLink w:val="WWNum1"/>
    <w:lvl w:ilvl="0">
      <w:start w:val="1"/>
      <w:numFmt w:val="lowerLetter"/>
      <w:lvlText w:val="%1)"/>
      <w:lvlJc w:val="left"/>
      <w:pPr>
        <w:ind w:left="360" w:hanging="360"/>
      </w:pPr>
      <w:rPr>
        <w:rFonts w:eastAsia="Times New Roman" w:cs="Times New Roman"/>
      </w:rPr>
    </w:lvl>
    <w:lvl w:ilvl="1">
      <w:numFmt w:val="bullet"/>
      <w:lvlText w:val="o"/>
      <w:lvlJc w:val="left"/>
      <w:pPr>
        <w:ind w:left="1080" w:hanging="360"/>
      </w:pPr>
      <w:rPr>
        <w:rFonts w:ascii="Courier New" w:hAnsi="Courier New" w:cs="Helvetica"/>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Helvetica"/>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Helvetica"/>
      </w:rPr>
    </w:lvl>
    <w:lvl w:ilvl="8">
      <w:numFmt w:val="bullet"/>
      <w:lvlText w:val=""/>
      <w:lvlJc w:val="left"/>
      <w:pPr>
        <w:ind w:left="6120" w:hanging="360"/>
      </w:pPr>
      <w:rPr>
        <w:rFonts w:ascii="Wingdings" w:hAnsi="Wingdings"/>
      </w:rPr>
    </w:lvl>
  </w:abstractNum>
  <w:abstractNum w:abstractNumId="5" w15:restartNumberingAfterBreak="0">
    <w:nsid w:val="6C17725F"/>
    <w:multiLevelType w:val="multilevel"/>
    <w:tmpl w:val="DC54460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2"/>
  </w:num>
  <w:num w:numId="3">
    <w:abstractNumId w:val="0"/>
  </w:num>
  <w:num w:numId="4">
    <w:abstractNumId w:val="3"/>
  </w:num>
  <w:num w:numId="5">
    <w:abstractNumId w:val="4"/>
  </w:num>
  <w:num w:numId="6">
    <w:abstractNumId w:val="4"/>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55AC"/>
    <w:rsid w:val="00065A6A"/>
    <w:rsid w:val="001E5E8D"/>
    <w:rsid w:val="0020749C"/>
    <w:rsid w:val="0021269C"/>
    <w:rsid w:val="002601D9"/>
    <w:rsid w:val="00356500"/>
    <w:rsid w:val="003D23FA"/>
    <w:rsid w:val="004340A1"/>
    <w:rsid w:val="004E5A3F"/>
    <w:rsid w:val="004F2AE7"/>
    <w:rsid w:val="005A0758"/>
    <w:rsid w:val="005A430D"/>
    <w:rsid w:val="006B36CA"/>
    <w:rsid w:val="007212BB"/>
    <w:rsid w:val="007517BE"/>
    <w:rsid w:val="0076578E"/>
    <w:rsid w:val="00765FE4"/>
    <w:rsid w:val="00773863"/>
    <w:rsid w:val="007F56C4"/>
    <w:rsid w:val="00803C42"/>
    <w:rsid w:val="00844853"/>
    <w:rsid w:val="00A0479A"/>
    <w:rsid w:val="00A44FA4"/>
    <w:rsid w:val="00A455AC"/>
    <w:rsid w:val="00A55AEE"/>
    <w:rsid w:val="00AD79B9"/>
    <w:rsid w:val="00C06298"/>
    <w:rsid w:val="00C26E18"/>
    <w:rsid w:val="00C30D99"/>
    <w:rsid w:val="00C41CCC"/>
    <w:rsid w:val="00C5325F"/>
    <w:rsid w:val="00C65D7C"/>
    <w:rsid w:val="00C90A33"/>
    <w:rsid w:val="00CA7DB6"/>
    <w:rsid w:val="00CF65C6"/>
    <w:rsid w:val="00D2451C"/>
    <w:rsid w:val="00D80708"/>
    <w:rsid w:val="00E07CD3"/>
    <w:rsid w:val="00E11B96"/>
    <w:rsid w:val="00E34183"/>
    <w:rsid w:val="00E959FA"/>
    <w:rsid w:val="00EC7DA9"/>
    <w:rsid w:val="00ED6536"/>
    <w:rsid w:val="00F7635B"/>
    <w:rsid w:val="00FB45EF"/>
    <w:rsid w:val="00FD66E2"/>
  </w:rsids>
  <m:mathPr>
    <m:mathFont m:val="Cambria Math"/>
    <m:brkBin m:val="before"/>
    <m:brkBinSub m:val="--"/>
    <m:smallFrac m:val="0"/>
    <m:dispDef/>
    <m:lMargin m:val="0"/>
    <m:rMargin m:val="0"/>
    <m:defJc m:val="centerGroup"/>
    <m:wrapIndent m:val="1440"/>
    <m:intLim m:val="subSup"/>
    <m:naryLim m:val="undOvr"/>
  </m:mathPr>
  <w:themeFontLang w:val="hr-HR"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2092C1-79CF-447E-AEFF-782143A3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55AC"/>
  </w:style>
  <w:style w:type="paragraph" w:styleId="Footer">
    <w:name w:val="footer"/>
    <w:basedOn w:val="Normal"/>
    <w:link w:val="FooterChar"/>
    <w:unhideWhenUsed/>
    <w:rsid w:val="00A45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55AC"/>
  </w:style>
  <w:style w:type="paragraph" w:styleId="ListParagraph">
    <w:name w:val="List Paragraph"/>
    <w:basedOn w:val="Normal"/>
    <w:qFormat/>
    <w:rsid w:val="00AD79B9"/>
    <w:pPr>
      <w:ind w:left="720"/>
      <w:contextualSpacing/>
    </w:pPr>
  </w:style>
  <w:style w:type="paragraph" w:styleId="ListBullet">
    <w:name w:val="List Bullet"/>
    <w:basedOn w:val="Normal"/>
    <w:uiPriority w:val="99"/>
    <w:unhideWhenUsed/>
    <w:rsid w:val="001E5E8D"/>
    <w:pPr>
      <w:numPr>
        <w:numId w:val="3"/>
      </w:numPr>
      <w:contextualSpacing/>
    </w:pPr>
  </w:style>
  <w:style w:type="paragraph" w:styleId="BalloonText">
    <w:name w:val="Balloon Text"/>
    <w:basedOn w:val="Normal"/>
    <w:link w:val="BalloonTextChar"/>
    <w:uiPriority w:val="99"/>
    <w:semiHidden/>
    <w:unhideWhenUsed/>
    <w:rsid w:val="003D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3FA"/>
    <w:rPr>
      <w:rFonts w:ascii="Tahoma" w:hAnsi="Tahoma" w:cs="Tahoma"/>
      <w:sz w:val="16"/>
      <w:szCs w:val="16"/>
    </w:rPr>
  </w:style>
  <w:style w:type="character" w:styleId="Hyperlink">
    <w:name w:val="Hyperlink"/>
    <w:basedOn w:val="DefaultParagraphFont"/>
    <w:uiPriority w:val="99"/>
    <w:unhideWhenUsed/>
    <w:rsid w:val="003D23FA"/>
    <w:rPr>
      <w:color w:val="0563C1" w:themeColor="hyperlink"/>
      <w:u w:val="single"/>
    </w:rPr>
  </w:style>
  <w:style w:type="paragraph" w:customStyle="1" w:styleId="Standard">
    <w:name w:val="Standard"/>
    <w:rsid w:val="00D80708"/>
    <w:pPr>
      <w:suppressAutoHyphens/>
      <w:autoSpaceDN w:val="0"/>
      <w:textAlignment w:val="baseline"/>
    </w:pPr>
    <w:rPr>
      <w:rFonts w:ascii="Calibri" w:eastAsia="SimSun" w:hAnsi="Calibri" w:cs="F"/>
      <w:kern w:val="3"/>
    </w:rPr>
  </w:style>
  <w:style w:type="numbering" w:customStyle="1" w:styleId="WWNum1">
    <w:name w:val="WWNum1"/>
    <w:basedOn w:val="NoList"/>
    <w:rsid w:val="00D80708"/>
    <w:pPr>
      <w:numPr>
        <w:numId w:val="5"/>
      </w:numPr>
    </w:pPr>
  </w:style>
  <w:style w:type="numbering" w:customStyle="1" w:styleId="WWNum2">
    <w:name w:val="WWNum2"/>
    <w:basedOn w:val="NoList"/>
    <w:rsid w:val="00D80708"/>
    <w:pPr>
      <w:numPr>
        <w:numId w:val="7"/>
      </w:numPr>
    </w:pPr>
  </w:style>
  <w:style w:type="character" w:styleId="FollowedHyperlink">
    <w:name w:val="FollowedHyperlink"/>
    <w:basedOn w:val="DefaultParagraphFont"/>
    <w:uiPriority w:val="99"/>
    <w:semiHidden/>
    <w:unhideWhenUsed/>
    <w:rsid w:val="00EC7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sites/devco/files/communication_and_visibility_manual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dder-project.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europeaid/sites/devco/files/communication_and_visibility_manual_en.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6011</Characters>
  <Application>Microsoft Office Word</Application>
  <DocSecurity>0</DocSecurity>
  <Lines>50</Lines>
  <Paragraphs>14</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Matteo Del Conte</dc:creator>
  <cp:lastModifiedBy>HP450</cp:lastModifiedBy>
  <cp:revision>5</cp:revision>
  <dcterms:created xsi:type="dcterms:W3CDTF">2016-04-14T20:41:00Z</dcterms:created>
  <dcterms:modified xsi:type="dcterms:W3CDTF">2016-06-10T11:46:00Z</dcterms:modified>
</cp:coreProperties>
</file>